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41DC6">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2513889</w:t>
      </w:r>
    </w:p>
    <w:p w14:paraId="1F7A211B">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Prague, Czech Republic, Oct. 13-17</w:t>
      </w:r>
      <w:r>
        <w:rPr>
          <w:rFonts w:ascii="Arial" w:hAnsi="Arial" w:eastAsia="宋体" w:cs="Arial"/>
          <w:b/>
          <w:sz w:val="24"/>
          <w:szCs w:val="24"/>
          <w:lang w:eastAsia="zh-CN"/>
        </w:rPr>
        <w:t>, 202</w:t>
      </w:r>
      <w:r>
        <w:rPr>
          <w:rFonts w:hint="eastAsia" w:eastAsia="宋体" w:cs="Arial"/>
          <w:b/>
          <w:sz w:val="24"/>
          <w:szCs w:val="24"/>
          <w:lang w:val="en-US" w:eastAsia="zh-CN"/>
        </w:rPr>
        <w:t>5</w:t>
      </w:r>
    </w:p>
    <w:p w14:paraId="5D1D6D23">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0850597A">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5808A4E9">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R19 SBFD UE-UE CLI</w:t>
      </w:r>
    </w:p>
    <w:p w14:paraId="3C93DAE2">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6.13.3.1</w:t>
      </w:r>
    </w:p>
    <w:p w14:paraId="2B96A123">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5F45390D">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7356FE26">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After several meetings</w:t>
      </w:r>
      <w:r>
        <w:rPr>
          <w:rFonts w:hint="default" w:cs="Arial"/>
          <w:lang w:val="en-US" w:eastAsia="zh-CN"/>
        </w:rPr>
        <w:t>’</w:t>
      </w:r>
      <w:r>
        <w:rPr>
          <w:rFonts w:hint="eastAsia" w:cs="Arial"/>
          <w:lang w:val="en-US" w:eastAsia="zh-CN"/>
        </w:rPr>
        <w:t xml:space="preserve"> discussion, good progress have been achieved for core part and it was completed in last meeting. Based on the work plan for Perf part</w:t>
      </w:r>
      <w:bookmarkStart w:id="0" w:name="_GoBack"/>
      <w:bookmarkEnd w:id="0"/>
      <w:r>
        <w:rPr>
          <w:rFonts w:hint="eastAsia" w:cs="Arial"/>
          <w:lang w:val="en-US" w:eastAsia="zh-CN"/>
        </w:rPr>
        <w:t xml:space="preserve"> approved in [1], the performance part for the R19 Duplex is to be discussed further in this meeting. Based on the progress on core part for the RRM requirements[2][3][4][5][6][7], we provide our views on performance part in this paper.</w:t>
      </w:r>
    </w:p>
    <w:p w14:paraId="025A58D9">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4BED10AC">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Around the SBFD, two sub-topics including UE-to-UE CLI and SBFD impact were discussed in core part and RRM requirements were defined for each sub-topic. For the performance part, we discuss the UE-to-UE CLI part in this paper.</w:t>
      </w:r>
    </w:p>
    <w:p w14:paraId="721BB4E4">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The following three methods for L1 UE-to-UE CLI were approved and all of them should be verified.</w:t>
      </w:r>
    </w:p>
    <w:p w14:paraId="737EFF5D">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val="0"/>
          <w:bCs w:val="0"/>
          <w:highlight w:val="green"/>
          <w:lang w:val="en-US" w:eastAsia="zh-CN"/>
        </w:rPr>
      </w:pPr>
      <w:r>
        <w:rPr>
          <w:rFonts w:hint="eastAsia"/>
          <w:b w:val="0"/>
          <w:bCs w:val="0"/>
          <w:highlight w:val="green"/>
          <w:lang w:val="en-US" w:eastAsia="zh-CN"/>
        </w:rPr>
        <w:t xml:space="preserve">-  </w:t>
      </w:r>
      <w:r>
        <w:rPr>
          <w:rFonts w:hint="default"/>
          <w:b w:val="0"/>
          <w:bCs w:val="0"/>
          <w:highlight w:val="green"/>
          <w:lang w:val="en-US" w:eastAsia="zh-CN"/>
        </w:rPr>
        <w:t>Method#1: UE measures RSSI within DL subband</w:t>
      </w:r>
    </w:p>
    <w:p w14:paraId="55C31F4A">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val="0"/>
          <w:bCs w:val="0"/>
          <w:highlight w:val="green"/>
          <w:lang w:val="en-US" w:eastAsia="zh-CN"/>
        </w:rPr>
      </w:pPr>
      <w:r>
        <w:rPr>
          <w:rFonts w:hint="eastAsia"/>
          <w:b w:val="0"/>
          <w:bCs w:val="0"/>
          <w:highlight w:val="green"/>
          <w:lang w:val="en-US" w:eastAsia="zh-CN"/>
        </w:rPr>
        <w:t xml:space="preserve">-  </w:t>
      </w:r>
      <w:r>
        <w:rPr>
          <w:rFonts w:hint="default"/>
          <w:b w:val="0"/>
          <w:bCs w:val="0"/>
          <w:highlight w:val="green"/>
          <w:lang w:val="en-US" w:eastAsia="zh-CN"/>
        </w:rPr>
        <w:t>Method#2: UE measures RSRP of aggressor UE within UL subband</w:t>
      </w:r>
    </w:p>
    <w:p w14:paraId="5DA318EA">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0"/>
        <w:textAlignment w:val="auto"/>
        <w:rPr>
          <w:rFonts w:hint="default"/>
          <w:b w:val="0"/>
          <w:bCs w:val="0"/>
          <w:highlight w:val="green"/>
          <w:lang w:val="en-US" w:eastAsia="zh-CN"/>
        </w:rPr>
      </w:pPr>
      <w:r>
        <w:rPr>
          <w:rFonts w:hint="eastAsia"/>
          <w:b w:val="0"/>
          <w:bCs w:val="0"/>
          <w:highlight w:val="green"/>
          <w:lang w:val="en-US" w:eastAsia="zh-CN"/>
        </w:rPr>
        <w:t xml:space="preserve">-  </w:t>
      </w:r>
      <w:r>
        <w:rPr>
          <w:rFonts w:hint="default"/>
          <w:b w:val="0"/>
          <w:bCs w:val="0"/>
          <w:highlight w:val="green"/>
          <w:lang w:val="en-US" w:eastAsia="zh-CN"/>
        </w:rPr>
        <w:t>Method#3: UE measures RSSI within UL subband</w:t>
      </w:r>
    </w:p>
    <w:p w14:paraId="113F8F8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u w:val="single"/>
          <w:lang w:val="en-US" w:eastAsia="zh-CN"/>
        </w:rPr>
      </w:pPr>
      <w:r>
        <w:rPr>
          <w:rFonts w:hint="eastAsia" w:cs="Arial"/>
          <w:u w:val="single"/>
          <w:lang w:val="en-US" w:eastAsia="zh-CN"/>
        </w:rPr>
        <w:t>Accuracy requirements</w:t>
      </w:r>
    </w:p>
    <w:p w14:paraId="21024F7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For Method#2, all the side conditions were touched during core part with the some progress, we summarized the progress and it can be seen further development in the perf part is foreseen.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F2E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672228BA">
            <w:pPr>
              <w:keepNext w:val="0"/>
              <w:keepLines w:val="0"/>
              <w:pageBreakBefore w:val="0"/>
              <w:widowControl w:val="0"/>
              <w:kinsoku/>
              <w:wordWrap/>
              <w:overflowPunct/>
              <w:topLinePunct w:val="0"/>
              <w:autoSpaceDE/>
              <w:autoSpaceDN/>
              <w:bidi w:val="0"/>
              <w:adjustRightInd/>
              <w:snapToGrid/>
              <w:textAlignment w:val="auto"/>
              <w:rPr>
                <w:rFonts w:hint="default"/>
                <w:color w:val="auto"/>
                <w:szCs w:val="24"/>
                <w:highlight w:val="none"/>
                <w:u w:val="single"/>
                <w:lang w:val="en-US" w:eastAsia="zh-CN"/>
              </w:rPr>
            </w:pPr>
            <w:r>
              <w:rPr>
                <w:rFonts w:hint="eastAsia"/>
                <w:color w:val="auto"/>
                <w:szCs w:val="24"/>
                <w:highlight w:val="none"/>
                <w:u w:val="single"/>
                <w:lang w:val="en-US" w:eastAsia="zh-CN"/>
              </w:rPr>
              <w:t>General:</w:t>
            </w:r>
          </w:p>
          <w:p w14:paraId="4E276C1B">
            <w:pPr>
              <w:keepNext w:val="0"/>
              <w:keepLines w:val="0"/>
              <w:pageBreakBefore w:val="0"/>
              <w:widowControl w:val="0"/>
              <w:kinsoku/>
              <w:wordWrap/>
              <w:overflowPunct/>
              <w:topLinePunct w:val="0"/>
              <w:autoSpaceDE/>
              <w:autoSpaceDN/>
              <w:bidi w:val="0"/>
              <w:adjustRightInd/>
              <w:snapToGrid/>
              <w:textAlignment w:val="auto"/>
              <w:rPr>
                <w:color w:val="auto"/>
                <w:szCs w:val="24"/>
                <w:lang w:eastAsia="zh-CN"/>
              </w:rPr>
            </w:pPr>
            <w:r>
              <w:rPr>
                <w:color w:val="auto"/>
                <w:szCs w:val="24"/>
                <w:highlight w:val="green"/>
                <w:lang w:eastAsia="zh-CN"/>
              </w:rPr>
              <w:t xml:space="preserve">Agreements </w:t>
            </w:r>
            <w:r>
              <w:rPr>
                <w:color w:val="auto"/>
                <w:szCs w:val="24"/>
                <w:lang w:eastAsia="zh-CN"/>
              </w:rPr>
              <w:t>(from online session)</w:t>
            </w:r>
          </w:p>
          <w:p w14:paraId="501211CC">
            <w:pPr>
              <w:pStyle w:val="29"/>
              <w:keepNext w:val="0"/>
              <w:keepLines w:val="0"/>
              <w:pageBreakBefore w:val="0"/>
              <w:widowControl w:val="0"/>
              <w:numPr>
                <w:ilvl w:val="0"/>
                <w:numId w:val="3"/>
              </w:numPr>
              <w:kinsoku/>
              <w:wordWrap/>
              <w:overflowPunct/>
              <w:topLinePunct w:val="0"/>
              <w:autoSpaceDE/>
              <w:autoSpaceDN/>
              <w:bidi w:val="0"/>
              <w:adjustRightInd/>
              <w:snapToGrid/>
              <w:ind w:firstLineChars="0"/>
              <w:textAlignment w:val="auto"/>
              <w:rPr>
                <w:lang w:eastAsia="ja-JP"/>
              </w:rPr>
            </w:pPr>
            <w:r>
              <w:rPr>
                <w:lang w:eastAsia="ja-JP"/>
              </w:rPr>
              <w:t>RAN4 to define side conditions for L1 based UE-to-UE CLI measurement requirements.</w:t>
            </w:r>
          </w:p>
          <w:p w14:paraId="2564A4CA">
            <w:pPr>
              <w:pStyle w:val="29"/>
              <w:keepNext w:val="0"/>
              <w:keepLines w:val="0"/>
              <w:pageBreakBefore w:val="0"/>
              <w:widowControl w:val="0"/>
              <w:numPr>
                <w:ilvl w:val="0"/>
                <w:numId w:val="3"/>
              </w:numPr>
              <w:kinsoku/>
              <w:wordWrap/>
              <w:overflowPunct/>
              <w:topLinePunct w:val="0"/>
              <w:autoSpaceDE/>
              <w:autoSpaceDN/>
              <w:bidi w:val="0"/>
              <w:adjustRightInd/>
              <w:snapToGrid/>
              <w:ind w:firstLineChars="0"/>
              <w:textAlignment w:val="auto"/>
              <w:rPr>
                <w:highlight w:val="none"/>
                <w:lang w:eastAsia="ja-JP"/>
              </w:rPr>
            </w:pPr>
            <w:r>
              <w:rPr>
                <w:lang w:eastAsia="ja-JP"/>
              </w:rPr>
              <w:t>RAN4 to discuss at leas</w:t>
            </w:r>
            <w:r>
              <w:rPr>
                <w:highlight w:val="none"/>
                <w:lang w:eastAsia="ja-JP"/>
              </w:rPr>
              <w:t>t time offset between DL timing and SRS arrival timing, SRS Es/Iot, SRS configuration and maximum/minimum SRS-RSRP.</w:t>
            </w:r>
          </w:p>
          <w:p w14:paraId="59B95AF0">
            <w:pPr>
              <w:pStyle w:val="29"/>
              <w:keepNext w:val="0"/>
              <w:keepLines w:val="0"/>
              <w:pageBreakBefore w:val="0"/>
              <w:widowControl w:val="0"/>
              <w:numPr>
                <w:ilvl w:val="1"/>
                <w:numId w:val="3"/>
              </w:numPr>
              <w:kinsoku/>
              <w:wordWrap/>
              <w:overflowPunct/>
              <w:topLinePunct w:val="0"/>
              <w:autoSpaceDE/>
              <w:autoSpaceDN/>
              <w:bidi w:val="0"/>
              <w:adjustRightInd/>
              <w:snapToGrid/>
              <w:ind w:firstLineChars="0"/>
              <w:textAlignment w:val="auto"/>
              <w:rPr>
                <w:lang w:eastAsia="ja-JP"/>
              </w:rPr>
            </w:pPr>
            <w:r>
              <w:rPr>
                <w:lang w:eastAsia="ja-JP"/>
              </w:rPr>
              <w:t>The RAN1 progress will be taken into account when discussing the values for the side conditions.</w:t>
            </w:r>
          </w:p>
          <w:p w14:paraId="68C9E805">
            <w:pPr>
              <w:pStyle w:val="29"/>
              <w:keepNext w:val="0"/>
              <w:keepLines w:val="0"/>
              <w:pageBreakBefore w:val="0"/>
              <w:widowControl w:val="0"/>
              <w:numPr>
                <w:ilvl w:val="0"/>
                <w:numId w:val="0"/>
              </w:numPr>
              <w:kinsoku/>
              <w:wordWrap/>
              <w:overflowPunct/>
              <w:topLinePunct w:val="0"/>
              <w:autoSpaceDE/>
              <w:autoSpaceDN/>
              <w:bidi w:val="0"/>
              <w:adjustRightInd/>
              <w:snapToGrid/>
              <w:ind w:left="720" w:leftChars="0"/>
              <w:textAlignment w:val="auto"/>
              <w:rPr>
                <w:lang w:eastAsia="ja-JP"/>
              </w:rPr>
            </w:pPr>
          </w:p>
          <w:p w14:paraId="3CDEA441">
            <w:pPr>
              <w:keepNext w:val="0"/>
              <w:keepLines w:val="0"/>
              <w:pageBreakBefore w:val="0"/>
              <w:widowControl w:val="0"/>
              <w:kinsoku/>
              <w:wordWrap/>
              <w:overflowPunct/>
              <w:topLinePunct w:val="0"/>
              <w:autoSpaceDE/>
              <w:autoSpaceDN/>
              <w:bidi w:val="0"/>
              <w:adjustRightInd/>
              <w:snapToGrid/>
              <w:textAlignment w:val="auto"/>
              <w:rPr>
                <w:rFonts w:hint="default"/>
                <w:color w:val="auto"/>
                <w:szCs w:val="24"/>
                <w:highlight w:val="none"/>
                <w:u w:val="single"/>
                <w:lang w:val="en-US" w:eastAsia="zh-CN"/>
              </w:rPr>
            </w:pPr>
            <w:r>
              <w:rPr>
                <w:rFonts w:hint="eastAsia"/>
                <w:color w:val="auto"/>
                <w:szCs w:val="24"/>
                <w:highlight w:val="none"/>
                <w:u w:val="single"/>
                <w:lang w:val="en-US" w:eastAsia="zh-CN"/>
              </w:rPr>
              <w:t>Time offset:</w:t>
            </w:r>
          </w:p>
          <w:p w14:paraId="1BDD1FE7">
            <w:pPr>
              <w:keepNext w:val="0"/>
              <w:keepLines w:val="0"/>
              <w:pageBreakBefore w:val="0"/>
              <w:widowControl w:val="0"/>
              <w:numPr>
                <w:ilvl w:val="0"/>
                <w:numId w:val="0"/>
              </w:numPr>
              <w:kinsoku/>
              <w:wordWrap/>
              <w:overflowPunct/>
              <w:topLinePunct w:val="0"/>
              <w:autoSpaceDE/>
              <w:autoSpaceDN/>
              <w:bidi w:val="0"/>
              <w:adjustRightInd/>
              <w:snapToGrid/>
              <w:textAlignment w:val="auto"/>
              <w:rPr>
                <w:szCs w:val="24"/>
                <w:lang w:eastAsia="zh-CN"/>
              </w:rPr>
            </w:pPr>
            <w:r>
              <w:rPr>
                <w:szCs w:val="24"/>
                <w:highlight w:val="green"/>
                <w:lang w:eastAsia="zh-CN"/>
              </w:rPr>
              <w:t xml:space="preserve">Agreements </w:t>
            </w:r>
          </w:p>
          <w:p w14:paraId="6C41A03E">
            <w:pPr>
              <w:pStyle w:val="29"/>
              <w:keepNext w:val="0"/>
              <w:keepLines w:val="0"/>
              <w:pageBreakBefore w:val="0"/>
              <w:widowControl w:val="0"/>
              <w:numPr>
                <w:ilvl w:val="1"/>
                <w:numId w:val="3"/>
              </w:numPr>
              <w:kinsoku/>
              <w:wordWrap/>
              <w:overflowPunct/>
              <w:topLinePunct w:val="0"/>
              <w:autoSpaceDE/>
              <w:autoSpaceDN/>
              <w:bidi w:val="0"/>
              <w:adjustRightInd/>
              <w:snapToGrid/>
              <w:ind w:firstLineChars="0"/>
              <w:textAlignment w:val="auto"/>
              <w:rPr>
                <w:rFonts w:hint="eastAsia"/>
                <w:lang w:val="en-US" w:eastAsia="zh-CN"/>
              </w:rPr>
            </w:pPr>
            <w:r>
              <w:rPr>
                <w:lang w:eastAsia="zh-CN"/>
              </w:rPr>
              <w:t xml:space="preserve">Further discuss timing offset side condition for accuracy requirements in the performance part of the WI, including whether to consider intra-cell scenario only or both intra- and inter-cell scenarios for defining the side condition. </w:t>
            </w:r>
          </w:p>
          <w:p w14:paraId="29FA6E09">
            <w:pPr>
              <w:keepNext w:val="0"/>
              <w:keepLines w:val="0"/>
              <w:pageBreakBefore w:val="0"/>
              <w:widowControl w:val="0"/>
              <w:kinsoku/>
              <w:wordWrap/>
              <w:overflowPunct/>
              <w:topLinePunct w:val="0"/>
              <w:autoSpaceDE/>
              <w:autoSpaceDN/>
              <w:bidi w:val="0"/>
              <w:adjustRightInd/>
              <w:snapToGrid/>
              <w:textAlignment w:val="auto"/>
              <w:rPr>
                <w:rFonts w:hint="eastAsia"/>
                <w:color w:val="auto"/>
                <w:szCs w:val="24"/>
                <w:highlight w:val="none"/>
                <w:u w:val="single"/>
                <w:lang w:val="en-US" w:eastAsia="zh-CN"/>
              </w:rPr>
            </w:pPr>
          </w:p>
          <w:p w14:paraId="6E39E28F">
            <w:pPr>
              <w:keepNext w:val="0"/>
              <w:keepLines w:val="0"/>
              <w:pageBreakBefore w:val="0"/>
              <w:widowControl w:val="0"/>
              <w:kinsoku/>
              <w:wordWrap/>
              <w:overflowPunct/>
              <w:topLinePunct w:val="0"/>
              <w:autoSpaceDE/>
              <w:autoSpaceDN/>
              <w:bidi w:val="0"/>
              <w:adjustRightInd/>
              <w:snapToGrid/>
              <w:textAlignment w:val="auto"/>
              <w:rPr>
                <w:rFonts w:hint="default"/>
                <w:color w:val="auto"/>
                <w:szCs w:val="24"/>
                <w:highlight w:val="none"/>
                <w:u w:val="single"/>
                <w:lang w:val="en-US" w:eastAsia="zh-CN"/>
              </w:rPr>
            </w:pPr>
            <w:r>
              <w:rPr>
                <w:rFonts w:hint="eastAsia"/>
                <w:color w:val="auto"/>
                <w:szCs w:val="24"/>
                <w:highlight w:val="none"/>
                <w:u w:val="single"/>
                <w:lang w:val="en-US" w:eastAsia="zh-CN"/>
              </w:rPr>
              <w:t>SRS Es/Iot:</w:t>
            </w:r>
          </w:p>
          <w:p w14:paraId="23DDCBC0">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r>
              <w:rPr>
                <w:szCs w:val="24"/>
                <w:highlight w:val="green"/>
                <w:lang w:eastAsia="zh-CN"/>
              </w:rPr>
              <w:t xml:space="preserve">Agreements </w:t>
            </w:r>
          </w:p>
          <w:p w14:paraId="75505BD3">
            <w:pPr>
              <w:pStyle w:val="29"/>
              <w:keepNext w:val="0"/>
              <w:keepLines w:val="0"/>
              <w:pageBreakBefore w:val="0"/>
              <w:widowControl w:val="0"/>
              <w:numPr>
                <w:ilvl w:val="1"/>
                <w:numId w:val="3"/>
              </w:numPr>
              <w:kinsoku/>
              <w:wordWrap/>
              <w:overflowPunct/>
              <w:topLinePunct w:val="0"/>
              <w:autoSpaceDE/>
              <w:autoSpaceDN/>
              <w:bidi w:val="0"/>
              <w:adjustRightInd/>
              <w:snapToGrid/>
              <w:ind w:firstLineChars="0"/>
              <w:textAlignment w:val="auto"/>
              <w:rPr>
                <w:lang w:eastAsia="zh-CN"/>
              </w:rPr>
            </w:pPr>
            <w:r>
              <w:rPr>
                <w:rFonts w:hint="eastAsia"/>
                <w:lang w:eastAsia="zh-CN"/>
              </w:rPr>
              <w:t>F</w:t>
            </w:r>
            <w:r>
              <w:rPr>
                <w:lang w:eastAsia="zh-CN"/>
              </w:rPr>
              <w:t>or SRS Es/Iot, further discuss the following options</w:t>
            </w:r>
          </w:p>
          <w:p w14:paraId="1090D3F2">
            <w:pPr>
              <w:pStyle w:val="65"/>
              <w:bidi w:val="0"/>
              <w:ind w:left="1536" w:leftChars="0"/>
              <w:rPr>
                <w:lang w:eastAsia="zh-CN"/>
              </w:rPr>
            </w:pPr>
            <w:r>
              <w:rPr>
                <w:lang w:eastAsia="zh-CN"/>
              </w:rPr>
              <w:t>Option 1</w:t>
            </w:r>
            <w:r>
              <w:rPr>
                <w:rFonts w:hint="eastAsia"/>
                <w:lang w:eastAsia="zh-CN"/>
              </w:rPr>
              <w:t>:</w:t>
            </w:r>
            <w:r>
              <w:rPr>
                <w:lang w:eastAsia="zh-CN"/>
              </w:rPr>
              <w:t xml:space="preserve"> 1dB</w:t>
            </w:r>
            <w:r>
              <w:rPr>
                <w:rFonts w:hint="eastAsia"/>
                <w:lang w:val="en-US" w:eastAsia="zh-CN"/>
              </w:rPr>
              <w:t xml:space="preserve"> </w:t>
            </w:r>
          </w:p>
          <w:p w14:paraId="6D8CD013">
            <w:pPr>
              <w:pStyle w:val="65"/>
              <w:bidi w:val="0"/>
              <w:ind w:left="1536" w:leftChars="0"/>
              <w:rPr>
                <w:lang w:eastAsia="zh-CN"/>
              </w:rPr>
            </w:pPr>
            <w:r>
              <w:rPr>
                <w:lang w:eastAsia="zh-CN"/>
              </w:rPr>
              <w:t>Option 2: &gt; 1dB</w:t>
            </w:r>
            <w:r>
              <w:rPr>
                <w:rFonts w:hint="eastAsia"/>
                <w:lang w:val="en-US" w:eastAsia="zh-CN"/>
              </w:rPr>
              <w:t xml:space="preserve"> </w:t>
            </w:r>
          </w:p>
          <w:p w14:paraId="430A408B">
            <w:pPr>
              <w:keepNext w:val="0"/>
              <w:keepLines w:val="0"/>
              <w:pageBreakBefore w:val="0"/>
              <w:widowControl w:val="0"/>
              <w:kinsoku/>
              <w:wordWrap/>
              <w:overflowPunct/>
              <w:topLinePunct w:val="0"/>
              <w:autoSpaceDE/>
              <w:autoSpaceDN/>
              <w:bidi w:val="0"/>
              <w:adjustRightInd/>
              <w:snapToGrid/>
              <w:textAlignment w:val="auto"/>
              <w:rPr>
                <w:rFonts w:hint="default"/>
                <w:color w:val="auto"/>
                <w:szCs w:val="24"/>
                <w:highlight w:val="none"/>
                <w:u w:val="single"/>
                <w:lang w:val="en-US" w:eastAsia="zh-CN"/>
              </w:rPr>
            </w:pPr>
            <w:r>
              <w:rPr>
                <w:rFonts w:hint="eastAsia"/>
                <w:color w:val="auto"/>
                <w:szCs w:val="24"/>
                <w:highlight w:val="none"/>
                <w:u w:val="single"/>
                <w:lang w:val="en-US" w:eastAsia="zh-CN"/>
              </w:rPr>
              <w:t>SRS BW:</w:t>
            </w:r>
          </w:p>
          <w:p w14:paraId="6DB205B3">
            <w:pPr>
              <w:keepNext w:val="0"/>
              <w:keepLines w:val="0"/>
              <w:pageBreakBefore w:val="0"/>
              <w:widowControl w:val="0"/>
              <w:numPr>
                <w:ilvl w:val="0"/>
                <w:numId w:val="0"/>
              </w:numPr>
              <w:kinsoku/>
              <w:wordWrap/>
              <w:overflowPunct/>
              <w:topLinePunct w:val="0"/>
              <w:autoSpaceDE/>
              <w:autoSpaceDN/>
              <w:bidi w:val="0"/>
              <w:adjustRightInd/>
              <w:snapToGrid/>
              <w:textAlignment w:val="auto"/>
              <w:rPr>
                <w:lang w:eastAsia="zh-CN"/>
              </w:rPr>
            </w:pPr>
            <w:r>
              <w:rPr>
                <w:szCs w:val="24"/>
                <w:highlight w:val="green"/>
                <w:lang w:eastAsia="zh-CN"/>
              </w:rPr>
              <w:t xml:space="preserve">Agreements </w:t>
            </w:r>
          </w:p>
          <w:p w14:paraId="75FF325D">
            <w:pPr>
              <w:pStyle w:val="29"/>
              <w:keepNext w:val="0"/>
              <w:keepLines w:val="0"/>
              <w:pageBreakBefore w:val="0"/>
              <w:widowControl w:val="0"/>
              <w:numPr>
                <w:ilvl w:val="1"/>
                <w:numId w:val="3"/>
              </w:numPr>
              <w:kinsoku/>
              <w:wordWrap/>
              <w:overflowPunct/>
              <w:topLinePunct w:val="0"/>
              <w:autoSpaceDE/>
              <w:autoSpaceDN/>
              <w:bidi w:val="0"/>
              <w:adjustRightInd/>
              <w:snapToGrid/>
              <w:ind w:firstLineChars="0"/>
              <w:textAlignment w:val="auto"/>
              <w:rPr>
                <w:rFonts w:hint="eastAsia"/>
                <w:lang w:eastAsia="zh-CN"/>
              </w:rPr>
            </w:pPr>
            <w:r>
              <w:rPr>
                <w:rFonts w:hint="eastAsia"/>
                <w:lang w:eastAsia="zh-CN"/>
              </w:rPr>
              <w:t>For SRS BW, further discuss the following options</w:t>
            </w:r>
          </w:p>
          <w:p w14:paraId="00E51E30">
            <w:pPr>
              <w:pStyle w:val="65"/>
              <w:bidi w:val="0"/>
              <w:ind w:left="1536" w:leftChars="0"/>
              <w:rPr>
                <w:lang w:eastAsia="zh-CN"/>
              </w:rPr>
            </w:pPr>
            <w:r>
              <w:rPr>
                <w:lang w:eastAsia="zh-CN"/>
              </w:rPr>
              <w:t>Option 1</w:t>
            </w:r>
            <w:r>
              <w:rPr>
                <w:rFonts w:hint="eastAsia"/>
                <w:lang w:eastAsia="zh-CN"/>
              </w:rPr>
              <w:t>:</w:t>
            </w:r>
            <w:r>
              <w:rPr>
                <w:lang w:eastAsia="zh-CN"/>
              </w:rPr>
              <w:t xml:space="preserve"> 24RB</w:t>
            </w:r>
          </w:p>
          <w:p w14:paraId="7A90C6AA">
            <w:pPr>
              <w:pStyle w:val="65"/>
              <w:bidi w:val="0"/>
              <w:ind w:left="1536" w:leftChars="0"/>
              <w:rPr>
                <w:lang w:eastAsia="zh-CN"/>
              </w:rPr>
            </w:pPr>
            <w:r>
              <w:rPr>
                <w:lang w:eastAsia="zh-CN"/>
              </w:rPr>
              <w:t>Option 2: 48RB</w:t>
            </w:r>
            <w:r>
              <w:rPr>
                <w:rFonts w:hint="eastAsia"/>
                <w:lang w:val="en-US" w:eastAsia="zh-CN"/>
              </w:rPr>
              <w:t xml:space="preserve"> </w:t>
            </w:r>
          </w:p>
          <w:p w14:paraId="38FAE814">
            <w:pPr>
              <w:pStyle w:val="29"/>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p>
          <w:p w14:paraId="62CFFDDB">
            <w:pPr>
              <w:keepNext w:val="0"/>
              <w:keepLines w:val="0"/>
              <w:pageBreakBefore w:val="0"/>
              <w:widowControl w:val="0"/>
              <w:kinsoku/>
              <w:wordWrap/>
              <w:overflowPunct/>
              <w:topLinePunct w:val="0"/>
              <w:autoSpaceDE/>
              <w:autoSpaceDN/>
              <w:bidi w:val="0"/>
              <w:adjustRightInd/>
              <w:snapToGrid/>
              <w:textAlignment w:val="auto"/>
              <w:rPr>
                <w:rFonts w:hint="default"/>
                <w:color w:val="auto"/>
                <w:szCs w:val="24"/>
                <w:highlight w:val="none"/>
                <w:u w:val="single"/>
                <w:lang w:val="en-US" w:eastAsia="zh-CN"/>
              </w:rPr>
            </w:pPr>
            <w:r>
              <w:rPr>
                <w:rFonts w:hint="eastAsia"/>
                <w:color w:val="auto"/>
                <w:szCs w:val="24"/>
                <w:highlight w:val="none"/>
                <w:u w:val="single"/>
                <w:lang w:val="en-US" w:eastAsia="zh-CN"/>
              </w:rPr>
              <w:t>SRS configuration:</w:t>
            </w:r>
          </w:p>
          <w:p w14:paraId="376D93FA">
            <w:pPr>
              <w:keepNext w:val="0"/>
              <w:keepLines w:val="0"/>
              <w:pageBreakBefore w:val="0"/>
              <w:widowControl w:val="0"/>
              <w:numPr>
                <w:ilvl w:val="0"/>
                <w:numId w:val="0"/>
              </w:numPr>
              <w:kinsoku/>
              <w:wordWrap/>
              <w:overflowPunct/>
              <w:topLinePunct w:val="0"/>
              <w:autoSpaceDE/>
              <w:autoSpaceDN/>
              <w:bidi w:val="0"/>
              <w:adjustRightInd/>
              <w:snapToGrid/>
              <w:textAlignment w:val="auto"/>
              <w:rPr>
                <w:szCs w:val="24"/>
                <w:lang w:eastAsia="zh-CN"/>
              </w:rPr>
            </w:pPr>
            <w:r>
              <w:rPr>
                <w:szCs w:val="24"/>
                <w:highlight w:val="green"/>
                <w:lang w:eastAsia="zh-CN"/>
              </w:rPr>
              <w:t xml:space="preserve">Agreements </w:t>
            </w:r>
            <w:r>
              <w:rPr>
                <w:szCs w:val="24"/>
                <w:lang w:eastAsia="zh-CN"/>
              </w:rPr>
              <w:t>(from online session)</w:t>
            </w:r>
          </w:p>
          <w:p w14:paraId="49095FE3">
            <w:pPr>
              <w:pStyle w:val="29"/>
              <w:keepNext w:val="0"/>
              <w:keepLines w:val="0"/>
              <w:pageBreakBefore w:val="0"/>
              <w:widowControl w:val="0"/>
              <w:numPr>
                <w:ilvl w:val="1"/>
                <w:numId w:val="3"/>
              </w:numPr>
              <w:kinsoku/>
              <w:wordWrap/>
              <w:overflowPunct/>
              <w:topLinePunct w:val="0"/>
              <w:autoSpaceDE/>
              <w:autoSpaceDN/>
              <w:bidi w:val="0"/>
              <w:adjustRightInd/>
              <w:snapToGrid/>
              <w:ind w:firstLineChars="0"/>
              <w:textAlignment w:val="auto"/>
              <w:rPr>
                <w:rFonts w:hint="default" w:cs="Arial"/>
                <w:vertAlign w:val="baseline"/>
                <w:lang w:val="en-US" w:eastAsia="zh-CN"/>
              </w:rPr>
            </w:pPr>
            <w:r>
              <w:rPr>
                <w:rFonts w:hint="eastAsia"/>
                <w:lang w:eastAsia="zh-CN"/>
              </w:rPr>
              <w:t>For SRS configuration, reuse R16 assumptions on SRS configuration for L1 SRS-RSRP measurements</w:t>
            </w:r>
          </w:p>
        </w:tc>
      </w:tr>
    </w:tbl>
    <w:p w14:paraId="6373CC3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We provide our view on all the side conditions.</w:t>
      </w:r>
    </w:p>
    <w:p w14:paraId="284E325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For the time offset, the assumption of timing offset is different between intra-cell scenario and inter-cell scenario, the 3us of cell phase error is taken into account for inter-cell scenario. Whether to exclude any scenario between intra-cell and inter-cell, based on RAN1 LS in [8], intra-cell L1 SRS-RSRP CLI measurement is prioritized by RAN1 but inter-cell scenario is not excluded for L1 SRS-RSRP CLI measurement. It can be seen the measurement performance would be worse if take 3us cell phase error into account, and the degradation depends on the exact SCS shown in simulation results. </w:t>
      </w:r>
    </w:p>
    <w:p w14:paraId="701EC52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It is more simple to specify a single set of accuracy requirements, while based on the simulation results, when the SCS is larger than 60KHz. For FR1 and FR2 with SCS 60 KHz, the difference between case 1 and case 2 can be around 2dB for AWGN and TDL-C channel. For FR2 with 120KHz SCS, the difference between case1 and case 2 can be around 4-5 dB.</w:t>
      </w:r>
    </w:p>
    <w:p w14:paraId="5010B5F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For L1-SRS-RSRP measurement, for 15kHz SCS and 30kHz SCS, time offset condition is defined with cell phase error. For SCS larger than or equal to 60kHz, time offset condition is defined without cell phase error.</w:t>
      </w:r>
    </w:p>
    <w:p w14:paraId="26F45CA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the SRS Es/Iot, one straightforward solution is to reuse the R16 side condition of 1dB. Some companies mentioned that less interference in UL subband compared with R16 L3 SRS-RSRP measurement, we agree with this point but it seems the gain of 3dB over 1dB is not much, we prefer to set the SRS Es/Iot as not smaller than 1dB.</w:t>
      </w:r>
    </w:p>
    <w:p w14:paraId="4B1FC76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2: For L1-SRS-RSRP measurement, the side condition of SRS Es/Iot is ≥1dB. </w:t>
      </w:r>
    </w:p>
    <w:p w14:paraId="5024ED0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Regarding the SRS BW, it is preferred to use 24 PRB as the side condition since 48 PRB for the DUD case is kind of challenge under some BW configuration. </w:t>
      </w:r>
    </w:p>
    <w:p w14:paraId="08FA0280">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 xml:space="preserve">Proposal 3: For L1-SRS-RSRP measurement, the side condition of SRS BW is 24 PRB. </w:t>
      </w:r>
    </w:p>
    <w:p w14:paraId="4A1010B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Method#1 and #3, i.e. the L1-CLI-RSSI measurements, the CLI measurement is Rx power based, not referring to any BB signal processing, it is straightforward to reuse R16 accuracy requirements for L3 CLI-RSSI measurement.</w:t>
      </w:r>
    </w:p>
    <w:p w14:paraId="19A0CDC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 xml:space="preserve">Proposal 4: For L1-CLI-RSSI measurement, reuse the R16 accuracy requirements of L3 CLI-RSSI measurement. </w:t>
      </w:r>
    </w:p>
    <w:p w14:paraId="27A0F04B">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u w:val="single"/>
          <w:lang w:val="en-US" w:eastAsia="zh-CN"/>
        </w:rPr>
      </w:pPr>
      <w:r>
        <w:rPr>
          <w:rFonts w:hint="eastAsia" w:cs="Arial"/>
          <w:u w:val="single"/>
          <w:lang w:val="en-US" w:eastAsia="zh-CN"/>
        </w:rPr>
        <w:t>Reporting mapping</w:t>
      </w:r>
    </w:p>
    <w:p w14:paraId="48AE4E1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With respect to the measurement resource and measurement report, all periodic, SPS and aperiodic measurement resources are allowed by RAN1 and only wideband aperiodic report is supported. Based on these approved measurement resource and report, RAN4 defines measurement period and reporting requirements for L1-CLI-RSSI and L1-SRS-RSRP.</w:t>
      </w:r>
    </w:p>
    <w:p w14:paraId="281F932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5: Define test cases to verify measurement period and reporting requirement for L1-CLI-RSSI and L1-SRS-RSRP. </w:t>
      </w:r>
    </w:p>
    <w:p w14:paraId="0EADA25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the reporting mapping, the following agreements were achieved during core part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BDBE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91DEE13">
            <w:pPr>
              <w:pStyle w:val="29"/>
              <w:keepNext w:val="0"/>
              <w:keepLines w:val="0"/>
              <w:pageBreakBefore w:val="0"/>
              <w:widowControl w:val="0"/>
              <w:numPr>
                <w:ilvl w:val="0"/>
                <w:numId w:val="0"/>
              </w:numPr>
              <w:kinsoku/>
              <w:wordWrap/>
              <w:overflowPunct/>
              <w:topLinePunct w:val="0"/>
              <w:autoSpaceDE/>
              <w:autoSpaceDN/>
              <w:bidi w:val="0"/>
              <w:adjustRightInd/>
              <w:snapToGrid/>
              <w:textAlignment w:val="auto"/>
              <w:rPr>
                <w:rFonts w:eastAsia="宋体"/>
                <w:color w:val="0070C0"/>
                <w:szCs w:val="24"/>
                <w:lang w:eastAsia="zh-CN"/>
              </w:rPr>
            </w:pPr>
            <w:r>
              <w:rPr>
                <w:rFonts w:eastAsia="宋体"/>
                <w:color w:val="0070C0"/>
                <w:szCs w:val="24"/>
                <w:highlight w:val="green"/>
                <w:lang w:eastAsia="zh-CN"/>
              </w:rPr>
              <w:t xml:space="preserve">Agreement </w:t>
            </w:r>
            <w:r>
              <w:rPr>
                <w:rFonts w:eastAsia="宋体"/>
                <w:color w:val="0070C0"/>
                <w:szCs w:val="24"/>
                <w:lang w:eastAsia="zh-CN"/>
              </w:rPr>
              <w:t>(online session on Monday)</w:t>
            </w:r>
          </w:p>
          <w:p w14:paraId="5404B7E4">
            <w:pPr>
              <w:pStyle w:val="29"/>
              <w:keepNext w:val="0"/>
              <w:keepLines w:val="0"/>
              <w:pageBreakBefore w:val="0"/>
              <w:widowControl w:val="0"/>
              <w:numPr>
                <w:ilvl w:val="1"/>
                <w:numId w:val="3"/>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Confirm that the reporting range and granularity for L1 SRS-RSRP and L1 CLI-RSSI, including both absolute and differential reporting, given by RAN1 LS R1-2501620, are reasonable.</w:t>
            </w:r>
          </w:p>
          <w:p w14:paraId="45E637F8">
            <w:pPr>
              <w:pStyle w:val="29"/>
              <w:keepNext w:val="0"/>
              <w:keepLines w:val="0"/>
              <w:pageBreakBefore w:val="0"/>
              <w:widowControl w:val="0"/>
              <w:numPr>
                <w:ilvl w:val="1"/>
                <w:numId w:val="3"/>
              </w:numPr>
              <w:kinsoku/>
              <w:wordWrap/>
              <w:overflowPunct/>
              <w:topLinePunct w:val="0"/>
              <w:autoSpaceDE/>
              <w:autoSpaceDN/>
              <w:bidi w:val="0"/>
              <w:adjustRightInd/>
              <w:snapToGrid/>
              <w:ind w:firstLineChars="0"/>
              <w:textAlignment w:val="auto"/>
              <w:rPr>
                <w:rFonts w:eastAsia="宋体"/>
                <w:szCs w:val="24"/>
                <w:lang w:eastAsia="zh-CN"/>
              </w:rPr>
            </w:pPr>
            <w:r>
              <w:rPr>
                <w:rFonts w:eastAsia="宋体"/>
                <w:szCs w:val="24"/>
                <w:lang w:eastAsia="zh-CN"/>
              </w:rPr>
              <w:t>Note: In RAN4 understanding, the “Infinite” in Table 10.1.22.1.2-1, TS38.133 is also reused for L1 SRS-RSRP.</w:t>
            </w:r>
          </w:p>
          <w:p w14:paraId="75C99D30">
            <w:pPr>
              <w:pStyle w:val="29"/>
              <w:keepNext w:val="0"/>
              <w:keepLines w:val="0"/>
              <w:pageBreakBefore w:val="0"/>
              <w:widowControl w:val="0"/>
              <w:numPr>
                <w:ilvl w:val="1"/>
                <w:numId w:val="3"/>
              </w:numPr>
              <w:kinsoku/>
              <w:wordWrap/>
              <w:overflowPunct/>
              <w:topLinePunct w:val="0"/>
              <w:autoSpaceDE/>
              <w:autoSpaceDN/>
              <w:bidi w:val="0"/>
              <w:adjustRightInd/>
              <w:snapToGrid/>
              <w:ind w:firstLineChars="0"/>
              <w:textAlignment w:val="auto"/>
              <w:rPr>
                <w:rFonts w:hint="default" w:cs="Arial"/>
                <w:vertAlign w:val="baseline"/>
                <w:lang w:val="en-US" w:eastAsia="zh-CN"/>
              </w:rPr>
            </w:pPr>
            <w:r>
              <w:rPr>
                <w:rFonts w:eastAsia="宋体"/>
                <w:szCs w:val="24"/>
                <w:lang w:eastAsia="zh-CN"/>
              </w:rPr>
              <w:t>RAN4 to define measurement report mapping for L1-SRS-RSRP and L1-CLI-RSSI, including both absolute reporting and differential reporting.</w:t>
            </w:r>
          </w:p>
        </w:tc>
      </w:tr>
    </w:tbl>
    <w:p w14:paraId="1E7899A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RAN4 would define measurement report mapping for absolute and differential reporting. For the absolute reporting, RAN4 has already confirm RAN1 assumption that the reporting range and granularity for L3 SRS-RSRP and L3-CLI-RSSI measurements in Table 10.1.22.1.2-1 and Table 10.1.22.2.2-1 are reused for L1 SRS-RSRP and L1-CLI-RSSI measurements respectively. </w:t>
      </w:r>
    </w:p>
    <w:p w14:paraId="78A7E68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the differential reporting, RAN4 also confirms RAN1 assumption and to reuse the reporting mapping defined in Table 10.1.6.1-2.</w:t>
      </w:r>
    </w:p>
    <w:p w14:paraId="2BB0E44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lang w:val="en-US" w:eastAsia="zh-CN"/>
        </w:rPr>
      </w:pPr>
      <w:r>
        <w:rPr>
          <w:rFonts w:hint="eastAsia"/>
          <w:b/>
          <w:bCs/>
          <w:lang w:val="en-US" w:eastAsia="zh-CN"/>
        </w:rPr>
        <w:t>Proposal 6: Reuse Table 10.1.22.1.2-1 and Table 10.1.22.2.2-1 for reporting mapping of absolute L1-SRS-RSRP and L1-CLI-RSSI respectively. Reuse Table 10.1.6.1-2 for reporting mapping of differential L1-SRS-RSRP and L1-CLI-RSSI.</w:t>
      </w:r>
    </w:p>
    <w:p w14:paraId="630F380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u w:val="single"/>
          <w:lang w:val="en-US" w:eastAsia="zh-CN"/>
        </w:rPr>
      </w:pPr>
      <w:r>
        <w:rPr>
          <w:rFonts w:hint="eastAsia" w:cs="Arial"/>
          <w:u w:val="single"/>
          <w:lang w:val="en-US" w:eastAsia="zh-CN"/>
        </w:rPr>
        <w:t>Test case</w:t>
      </w:r>
    </w:p>
    <w:p w14:paraId="73CDF7D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the test case of CLI, both DU and DUD configurations are needed to verify under different assumption of CLI method. So the following test cases are preferred from us.</w:t>
      </w:r>
    </w:p>
    <w:p w14:paraId="485BF32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7: RAN4 to define test cases for UE-to-UE CLI as below:</w:t>
      </w:r>
    </w:p>
    <w:p w14:paraId="1CE0D671">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L1-CLI-RSSI of Method#1 measurement delay and accuracy under DU</w:t>
      </w:r>
    </w:p>
    <w:p w14:paraId="2F5E11DD">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L1-CLI-RSSI of Method#1 measurement delay and accuracy under DUD</w:t>
      </w:r>
    </w:p>
    <w:p w14:paraId="54816FB2">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L1-SRS-RSRP(Method#2) measurement delay and accuracy under DU or DUD</w:t>
      </w:r>
    </w:p>
    <w:p w14:paraId="295CA43B">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L1-CLI-RSSI of Method#3 measurement delay and accuracy under DU or DUD</w:t>
      </w:r>
    </w:p>
    <w:p w14:paraId="46AFD66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lang w:val="en-US" w:eastAsia="zh-CN"/>
        </w:rPr>
        <w:t xml:space="preserve">The </w:t>
      </w:r>
      <w:r>
        <w:rPr>
          <w:rFonts w:eastAsia="宋体"/>
          <w:color w:val="auto"/>
          <w:lang w:val="en-US" w:eastAsia="zh-CN"/>
        </w:rPr>
        <w:t>Conclusion</w:t>
      </w:r>
    </w:p>
    <w:p w14:paraId="1090683D">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performance part of SBFD</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5D3A209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1: For L1-SRS-RSRP measurement, for 15kHz SCS and 30kHz SCS, time offset condition is defined with cell phase error. For SCS larger than or equal to 60kHz, time offset condition is defined without cell phase error.</w:t>
      </w:r>
    </w:p>
    <w:p w14:paraId="3A3BD66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2: For L1-SRS-RSRP measurement, the side condition of SRS Es/Iot is ≥1dB. </w:t>
      </w:r>
    </w:p>
    <w:p w14:paraId="7980165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 xml:space="preserve">Proposal 3: For L1-SRS-RSRP measurement, the side condition of SRS BW is 24 PRB. </w:t>
      </w:r>
    </w:p>
    <w:p w14:paraId="16E47BEB">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 xml:space="preserve">Proposal 4: For L1-CLI-RSSI measurement, reuse the R16 accuracy requirements of L3 CLI-RSSI measurement. </w:t>
      </w:r>
    </w:p>
    <w:p w14:paraId="708F22C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5: Define test cases to verify measurement period and reporting requirement for L1-CLI-RSSI and L1-SRS-RSRP. </w:t>
      </w:r>
    </w:p>
    <w:p w14:paraId="7BEBF54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lang w:val="en-US" w:eastAsia="zh-CN"/>
        </w:rPr>
      </w:pPr>
      <w:r>
        <w:rPr>
          <w:rFonts w:hint="eastAsia"/>
          <w:b/>
          <w:bCs/>
          <w:lang w:val="en-US" w:eastAsia="zh-CN"/>
        </w:rPr>
        <w:t>Proposal 6: Reuse Table 10.1.22.1.2-1 and Table 10.1.22.2.2-1 for reporting mapping of absolute L1-SRS-RSRP and L1-CLI-RSSI respectively. Reuse Table 10.1.6.1-2 for reporting mapping of differential L1-SRS-RSRP and L1-CLI-RSSI.</w:t>
      </w:r>
    </w:p>
    <w:p w14:paraId="0D271F5B">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7: RAN4 to define test cases for UE-to-UE CLI as below:</w:t>
      </w:r>
    </w:p>
    <w:p w14:paraId="25A5EBE4">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L1-CLI-RSSI of Method#1 measurement delay and accuracy under DU</w:t>
      </w:r>
    </w:p>
    <w:p w14:paraId="07B899DF">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L1-CLI-RSSI of Method#1 measurement delay and accuracy under DUD</w:t>
      </w:r>
    </w:p>
    <w:p w14:paraId="4CAE970E">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L1-SRS-RSRP(Method#2) measurement delay and accuracy under DU or DUD</w:t>
      </w:r>
    </w:p>
    <w:p w14:paraId="1819E218">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b/>
          <w:bCs/>
          <w:lang w:val="en-US" w:eastAsia="zh-CN"/>
        </w:rPr>
      </w:pPr>
      <w:r>
        <w:rPr>
          <w:rFonts w:hint="eastAsia"/>
          <w:b/>
          <w:bCs/>
          <w:lang w:val="en-US" w:eastAsia="zh-CN"/>
        </w:rPr>
        <w:t>L1-CLI-RSSI of Method#3 measurement delay and accuracy under DU or DUD</w:t>
      </w:r>
    </w:p>
    <w:p w14:paraId="41D739F5">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7335EEDA">
      <w:pPr>
        <w:pStyle w:val="10"/>
        <w:numPr>
          <w:ilvl w:val="0"/>
          <w:numId w:val="6"/>
        </w:numPr>
        <w:ind w:leftChars="0"/>
        <w:rPr>
          <w:rFonts w:hint="eastAsia"/>
          <w:color w:val="auto"/>
          <w:sz w:val="20"/>
          <w:szCs w:val="20"/>
          <w:highlight w:val="none"/>
          <w:lang w:val="en-US" w:eastAsia="zh-CN"/>
        </w:rPr>
      </w:pPr>
      <w:r>
        <w:rPr>
          <w:rFonts w:hint="eastAsia"/>
          <w:lang w:val="en-US" w:eastAsia="zh-CN"/>
        </w:rPr>
        <w:t xml:space="preserve">R4-2507487, </w:t>
      </w:r>
      <w:r>
        <w:rPr>
          <w:rFonts w:hint="default"/>
          <w:lang w:val="en-US" w:eastAsia="zh-CN"/>
        </w:rPr>
        <w:t>“Workplan for Evolution of NR Duplex Operation (RAN4 Performance Part)”</w:t>
      </w:r>
      <w:r>
        <w:rPr>
          <w:rFonts w:hint="eastAsia"/>
          <w:lang w:val="en-US" w:eastAsia="zh-CN"/>
        </w:rPr>
        <w:t xml:space="preserve">, </w:t>
      </w:r>
      <w:r>
        <w:rPr>
          <w:rFonts w:hint="eastAsia" w:ascii="Arial" w:hAnsi="Arial" w:cs="Arial"/>
          <w:color w:val="000000"/>
          <w:sz w:val="22"/>
          <w:lang w:eastAsia="zh-CN"/>
        </w:rPr>
        <w:t>Samsung,</w:t>
      </w:r>
      <w:r>
        <w:rPr>
          <w:rFonts w:ascii="Arial" w:hAnsi="Arial" w:cs="Arial"/>
          <w:color w:val="000000"/>
          <w:sz w:val="22"/>
          <w:lang w:eastAsia="zh-CN"/>
        </w:rPr>
        <w:t xml:space="preserve"> Huawei</w:t>
      </w:r>
      <w:r>
        <w:rPr>
          <w:rFonts w:hint="eastAsia" w:cs="Arial"/>
          <w:color w:val="000000"/>
          <w:sz w:val="22"/>
          <w:lang w:val="en-US" w:eastAsia="zh-CN"/>
        </w:rPr>
        <w:t>, 3GPP RAN4#115, 2024.</w:t>
      </w:r>
    </w:p>
    <w:p w14:paraId="1729D9B1">
      <w:pPr>
        <w:pStyle w:val="10"/>
        <w:numPr>
          <w:ilvl w:val="0"/>
          <w:numId w:val="6"/>
        </w:numPr>
        <w:ind w:leftChars="0"/>
        <w:rPr>
          <w:rFonts w:hint="eastAsia"/>
          <w:color w:val="auto"/>
          <w:sz w:val="20"/>
          <w:szCs w:val="20"/>
          <w:highlight w:val="none"/>
          <w:lang w:val="en-US" w:eastAsia="zh-CN"/>
        </w:rPr>
      </w:pPr>
      <w:r>
        <w:rPr>
          <w:rFonts w:hint="eastAsia"/>
          <w:lang w:val="en-US" w:eastAsia="zh-CN"/>
        </w:rPr>
        <w:t xml:space="preserve">R4-2413900,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RAN4#112, 2025.</w:t>
      </w:r>
    </w:p>
    <w:p w14:paraId="7A2443CB">
      <w:pPr>
        <w:pStyle w:val="10"/>
        <w:numPr>
          <w:ilvl w:val="0"/>
          <w:numId w:val="6"/>
        </w:numPr>
        <w:ind w:leftChars="0"/>
        <w:rPr>
          <w:rFonts w:hint="eastAsia"/>
          <w:color w:val="auto"/>
          <w:sz w:val="20"/>
          <w:szCs w:val="20"/>
          <w:highlight w:val="none"/>
          <w:lang w:val="en-US" w:eastAsia="zh-CN"/>
        </w:rPr>
      </w:pPr>
      <w:r>
        <w:rPr>
          <w:rFonts w:hint="eastAsia"/>
          <w:lang w:val="en-US" w:eastAsia="zh-CN"/>
        </w:rPr>
        <w:t xml:space="preserve">R4-2416858,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RAN4#112bis, 2025.</w:t>
      </w:r>
    </w:p>
    <w:p w14:paraId="3F635295">
      <w:pPr>
        <w:pStyle w:val="10"/>
        <w:numPr>
          <w:ilvl w:val="0"/>
          <w:numId w:val="6"/>
        </w:numPr>
        <w:ind w:leftChars="0"/>
        <w:rPr>
          <w:rFonts w:hint="eastAsia"/>
          <w:color w:val="auto"/>
          <w:sz w:val="20"/>
          <w:szCs w:val="20"/>
          <w:highlight w:val="none"/>
          <w:lang w:val="en-US" w:eastAsia="zh-CN"/>
        </w:rPr>
      </w:pPr>
      <w:r>
        <w:rPr>
          <w:rFonts w:hint="eastAsia"/>
          <w:lang w:val="en-US" w:eastAsia="zh-CN"/>
        </w:rPr>
        <w:t xml:space="preserve">R4-2420097,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RAN4#113, 2025.</w:t>
      </w:r>
    </w:p>
    <w:p w14:paraId="2702304C">
      <w:pPr>
        <w:pStyle w:val="10"/>
        <w:numPr>
          <w:ilvl w:val="0"/>
          <w:numId w:val="6"/>
        </w:numPr>
        <w:ind w:leftChars="0"/>
        <w:rPr>
          <w:rFonts w:hint="eastAsia"/>
          <w:color w:val="auto"/>
          <w:sz w:val="20"/>
          <w:szCs w:val="20"/>
          <w:highlight w:val="none"/>
          <w:lang w:val="en-US" w:eastAsia="zh-CN"/>
        </w:rPr>
      </w:pPr>
      <w:r>
        <w:rPr>
          <w:rFonts w:hint="eastAsia"/>
          <w:lang w:val="en-US" w:eastAsia="zh-CN"/>
        </w:rPr>
        <w:t xml:space="preserve">R4-2502597,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RAN4#114, 2025.</w:t>
      </w:r>
    </w:p>
    <w:p w14:paraId="359747BE">
      <w:pPr>
        <w:pStyle w:val="10"/>
        <w:numPr>
          <w:ilvl w:val="0"/>
          <w:numId w:val="6"/>
        </w:numPr>
        <w:ind w:leftChars="0"/>
        <w:rPr>
          <w:rFonts w:hint="eastAsia"/>
          <w:color w:val="auto"/>
          <w:sz w:val="20"/>
          <w:szCs w:val="20"/>
          <w:highlight w:val="none"/>
          <w:lang w:val="en-US" w:eastAsia="zh-CN"/>
        </w:rPr>
      </w:pPr>
      <w:r>
        <w:rPr>
          <w:rFonts w:hint="eastAsia"/>
          <w:lang w:val="en-US" w:eastAsia="zh-CN"/>
        </w:rPr>
        <w:t xml:space="preserve">R4-2508274,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RAN4#115, 2025.</w:t>
      </w:r>
    </w:p>
    <w:p w14:paraId="79F5219E">
      <w:pPr>
        <w:pStyle w:val="10"/>
        <w:numPr>
          <w:ilvl w:val="0"/>
          <w:numId w:val="6"/>
        </w:numPr>
        <w:ind w:leftChars="0"/>
        <w:rPr>
          <w:rFonts w:hint="eastAsia"/>
          <w:color w:val="auto"/>
          <w:sz w:val="20"/>
          <w:szCs w:val="20"/>
          <w:highlight w:val="none"/>
          <w:lang w:val="en-US" w:eastAsia="zh-CN"/>
        </w:rPr>
      </w:pPr>
      <w:r>
        <w:rPr>
          <w:rFonts w:hint="eastAsia"/>
          <w:lang w:val="en-US" w:eastAsia="zh-CN"/>
        </w:rPr>
        <w:t xml:space="preserve">R4-2512133,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RAN4#116, 2025.</w:t>
      </w:r>
    </w:p>
    <w:p w14:paraId="6E565673">
      <w:pPr>
        <w:pStyle w:val="10"/>
        <w:numPr>
          <w:ilvl w:val="0"/>
          <w:numId w:val="6"/>
        </w:numPr>
        <w:ind w:leftChars="0"/>
        <w:rPr>
          <w:rFonts w:hint="eastAsia"/>
          <w:color w:val="auto"/>
          <w:sz w:val="20"/>
          <w:szCs w:val="20"/>
          <w:highlight w:val="none"/>
          <w:lang w:val="en-US" w:eastAsia="zh-CN"/>
        </w:rPr>
      </w:pPr>
      <w:r>
        <w:rPr>
          <w:rFonts w:hint="eastAsia" w:cs="Arial"/>
          <w:color w:val="000000"/>
          <w:sz w:val="22"/>
          <w:lang w:val="en-US" w:eastAsia="zh-CN"/>
        </w:rPr>
        <w:t xml:space="preserve">R4-2416919, </w:t>
      </w:r>
      <w:r>
        <w:rPr>
          <w:rFonts w:hint="default" w:cs="Arial"/>
          <w:color w:val="000000"/>
          <w:sz w:val="22"/>
          <w:lang w:val="en-US" w:eastAsia="zh-CN"/>
        </w:rPr>
        <w:t>“Reply LS on the scenarios of UE-to-UE CLI measurement report in SBFD operation”</w:t>
      </w:r>
      <w:r>
        <w:rPr>
          <w:rFonts w:hint="eastAsia" w:cs="Arial"/>
          <w:color w:val="000000"/>
          <w:sz w:val="22"/>
          <w:lang w:val="en-US" w:eastAsia="zh-CN"/>
        </w:rPr>
        <w:t>, RAN1#119, 2024.</w:t>
      </w:r>
    </w:p>
    <w:p w14:paraId="09DA08F9">
      <w:pPr>
        <w:pStyle w:val="10"/>
        <w:numPr>
          <w:ilvl w:val="0"/>
          <w:numId w:val="0"/>
        </w:numPr>
        <w:ind w:leftChars="0"/>
        <w:rPr>
          <w:rFonts w:hint="eastAsia"/>
          <w:color w:val="auto"/>
          <w:sz w:val="20"/>
          <w:szCs w:val="20"/>
          <w:highlight w:val="none"/>
          <w:lang w:val="en-US" w:eastAsia="zh-CN"/>
        </w:rPr>
      </w:pPr>
    </w:p>
    <w:p w14:paraId="46438CAA">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B2D32">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070FBF8C"/>
    <w:multiLevelType w:val="singleLevel"/>
    <w:tmpl w:val="070FBF8C"/>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pStyle w:val="65"/>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24A1A"/>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381F"/>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BEA0A33"/>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35FFC"/>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64840"/>
    <w:rsid w:val="2EA9176F"/>
    <w:rsid w:val="2EAE3922"/>
    <w:rsid w:val="2EB1033E"/>
    <w:rsid w:val="2EB32811"/>
    <w:rsid w:val="2EB727B2"/>
    <w:rsid w:val="2EDD169E"/>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A01868"/>
    <w:rsid w:val="34C43C38"/>
    <w:rsid w:val="34CB2E3B"/>
    <w:rsid w:val="34CD1A98"/>
    <w:rsid w:val="34CF2BD8"/>
    <w:rsid w:val="34ED1C61"/>
    <w:rsid w:val="34F04638"/>
    <w:rsid w:val="351457B8"/>
    <w:rsid w:val="35371275"/>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E529F0"/>
    <w:rsid w:val="43F06CA6"/>
    <w:rsid w:val="440A782C"/>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23045"/>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0804DC"/>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EC15A4"/>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0676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7311F8"/>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9A4C5D"/>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31123D"/>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1F2D96"/>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EF249CE"/>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06112"/>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2025-10-03T03:52:42Z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